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Product Description</w:t>
      </w:r>
    </w:p>
    <w:p w:rsidR="00061D9F" w:rsidRDefault="00BA4ABD" w:rsidP="00061D9F">
      <w:pPr>
        <w:pStyle w:val="NoSpacing"/>
        <w:jc w:val="both"/>
        <w:rPr>
          <w:rFonts w:asciiTheme="minorHAnsi" w:hAnsiTheme="minorHAnsi"/>
          <w:sz w:val="24"/>
          <w:szCs w:val="24"/>
        </w:rPr>
      </w:pPr>
      <w:r>
        <w:rPr>
          <w:rFonts w:asciiTheme="minorHAnsi" w:hAnsiTheme="minorHAnsi"/>
          <w:sz w:val="24"/>
          <w:szCs w:val="24"/>
        </w:rPr>
        <w:t>Premium quality electrical self-extinguishing soft PVC tape with a rubber adhesive</w:t>
      </w:r>
    </w:p>
    <w:p w:rsidR="00061D9F" w:rsidRDefault="00061D9F" w:rsidP="00061D9F">
      <w:pPr>
        <w:pStyle w:val="NoSpacing"/>
        <w:jc w:val="both"/>
        <w:rPr>
          <w:rFonts w:asciiTheme="minorHAnsi" w:hAnsiTheme="minorHAnsi"/>
          <w:sz w:val="24"/>
          <w:szCs w:val="24"/>
        </w:rPr>
      </w:pPr>
    </w:p>
    <w:p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Applications</w:t>
      </w:r>
    </w:p>
    <w:p w:rsidR="00061D9F" w:rsidRDefault="00BA4ABD" w:rsidP="00061D9F">
      <w:pPr>
        <w:pStyle w:val="NoSpacing"/>
        <w:jc w:val="both"/>
        <w:rPr>
          <w:rFonts w:asciiTheme="minorHAnsi" w:hAnsiTheme="minorHAnsi"/>
          <w:sz w:val="24"/>
          <w:szCs w:val="24"/>
        </w:rPr>
      </w:pPr>
      <w:r w:rsidRPr="00BA4ABD">
        <w:rPr>
          <w:rFonts w:asciiTheme="minorHAnsi" w:hAnsiTheme="minorHAnsi"/>
          <w:sz w:val="24"/>
          <w:szCs w:val="24"/>
        </w:rPr>
        <w:t>Predominantly</w:t>
      </w:r>
      <w:r>
        <w:rPr>
          <w:rFonts w:asciiTheme="minorHAnsi" w:hAnsiTheme="minorHAnsi"/>
          <w:sz w:val="24"/>
          <w:szCs w:val="24"/>
        </w:rPr>
        <w:t xml:space="preserve"> electrical insulation, also colour coding and for electrical cables wrapping in automotive application. </w:t>
      </w:r>
    </w:p>
    <w:p w:rsidR="00061D9F" w:rsidRDefault="00061D9F" w:rsidP="00061D9F">
      <w:pPr>
        <w:pStyle w:val="NoSpacing"/>
        <w:jc w:val="both"/>
        <w:rPr>
          <w:rFonts w:asciiTheme="minorHAnsi" w:hAnsiTheme="minorHAnsi"/>
          <w:sz w:val="24"/>
          <w:szCs w:val="24"/>
        </w:rPr>
      </w:pPr>
    </w:p>
    <w:p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Features &amp; Benefits</w:t>
      </w:r>
    </w:p>
    <w:p w:rsidR="00061D9F" w:rsidRDefault="00BA4ABD" w:rsidP="00061D9F">
      <w:pPr>
        <w:pStyle w:val="NoSpacing"/>
        <w:jc w:val="both"/>
        <w:rPr>
          <w:rFonts w:asciiTheme="minorHAnsi" w:hAnsiTheme="minorHAnsi"/>
          <w:sz w:val="24"/>
          <w:szCs w:val="24"/>
        </w:rPr>
      </w:pPr>
      <w:r>
        <w:rPr>
          <w:rFonts w:asciiTheme="minorHAnsi" w:hAnsiTheme="minorHAnsi"/>
          <w:sz w:val="24"/>
          <w:szCs w:val="24"/>
        </w:rPr>
        <w:t>Good resistance to abrasion, corrosion and moisture</w:t>
      </w:r>
    </w:p>
    <w:p w:rsidR="00BA4ABD" w:rsidRDefault="00BA4ABD" w:rsidP="00061D9F">
      <w:pPr>
        <w:pStyle w:val="NoSpacing"/>
        <w:jc w:val="both"/>
        <w:rPr>
          <w:rFonts w:asciiTheme="minorHAnsi" w:hAnsiTheme="minorHAnsi"/>
          <w:sz w:val="24"/>
          <w:szCs w:val="24"/>
        </w:rPr>
      </w:pPr>
      <w:r>
        <w:rPr>
          <w:rFonts w:asciiTheme="minorHAnsi" w:hAnsiTheme="minorHAnsi"/>
          <w:sz w:val="24"/>
          <w:szCs w:val="24"/>
        </w:rPr>
        <w:t>High dielectric strength</w:t>
      </w:r>
    </w:p>
    <w:p w:rsidR="00BA4ABD" w:rsidRDefault="00BA4ABD" w:rsidP="00061D9F">
      <w:pPr>
        <w:pStyle w:val="NoSpacing"/>
        <w:jc w:val="both"/>
        <w:rPr>
          <w:rFonts w:asciiTheme="minorHAnsi" w:hAnsiTheme="minorHAnsi"/>
          <w:sz w:val="24"/>
          <w:szCs w:val="24"/>
        </w:rPr>
      </w:pPr>
      <w:r>
        <w:rPr>
          <w:rFonts w:asciiTheme="minorHAnsi" w:hAnsiTheme="minorHAnsi"/>
          <w:sz w:val="24"/>
          <w:szCs w:val="24"/>
        </w:rPr>
        <w:t>Excellent conformability</w:t>
      </w:r>
    </w:p>
    <w:p w:rsidR="00FA54DC" w:rsidRDefault="00FA54DC" w:rsidP="00FA54DC">
      <w:pPr>
        <w:pStyle w:val="NoSpacing"/>
        <w:jc w:val="both"/>
        <w:rPr>
          <w:rFonts w:asciiTheme="minorHAnsi" w:hAnsiTheme="minorHAnsi"/>
          <w:sz w:val="24"/>
          <w:szCs w:val="24"/>
        </w:rPr>
      </w:pPr>
      <w:r>
        <w:rPr>
          <w:rFonts w:asciiTheme="minorHAnsi" w:hAnsiTheme="minorHAnsi"/>
          <w:sz w:val="24"/>
          <w:szCs w:val="24"/>
        </w:rPr>
        <w:t>Conforms to BS3924 replaced by EN 60454-3-12:2006</w:t>
      </w:r>
    </w:p>
    <w:p w:rsidR="003D0002" w:rsidRDefault="00FA54DC" w:rsidP="009358B3">
      <w:pPr>
        <w:pStyle w:val="NoSpacing"/>
        <w:jc w:val="both"/>
        <w:rPr>
          <w:rFonts w:asciiTheme="minorHAnsi" w:hAnsiTheme="minorHAnsi"/>
          <w:sz w:val="24"/>
          <w:szCs w:val="24"/>
        </w:rPr>
      </w:pPr>
      <w:r>
        <w:rPr>
          <w:rFonts w:asciiTheme="minorHAnsi" w:hAnsiTheme="minorHAnsi"/>
          <w:sz w:val="24"/>
          <w:szCs w:val="24"/>
        </w:rPr>
        <w:t>Conforms to EN 60454-3-12:2006</w:t>
      </w:r>
      <w:r w:rsidR="003D0002">
        <w:rPr>
          <w:rFonts w:asciiTheme="minorHAnsi" w:hAnsiTheme="minorHAnsi"/>
          <w:sz w:val="24"/>
          <w:szCs w:val="24"/>
        </w:rPr>
        <w:t xml:space="preserve"> </w:t>
      </w:r>
    </w:p>
    <w:p w:rsidR="00FA54DC" w:rsidRDefault="00FA54DC" w:rsidP="009358B3">
      <w:pPr>
        <w:pStyle w:val="NoSpacing"/>
        <w:jc w:val="both"/>
        <w:rPr>
          <w:rFonts w:asciiTheme="minorHAnsi" w:hAnsiTheme="minorHAnsi"/>
          <w:sz w:val="24"/>
          <w:szCs w:val="24"/>
        </w:rPr>
      </w:pPr>
      <w:r>
        <w:rPr>
          <w:rFonts w:asciiTheme="minorHAnsi" w:hAnsiTheme="minorHAnsi"/>
          <w:sz w:val="24"/>
          <w:szCs w:val="24"/>
        </w:rPr>
        <w:t>IEC 62321:2008</w:t>
      </w:r>
    </w:p>
    <w:p w:rsidR="00FA54DC" w:rsidRDefault="00FA54DC" w:rsidP="00FA54DC">
      <w:pPr>
        <w:pStyle w:val="NoSpacing"/>
        <w:jc w:val="both"/>
        <w:rPr>
          <w:rFonts w:asciiTheme="minorHAnsi" w:hAnsiTheme="minorHAnsi"/>
          <w:sz w:val="24"/>
          <w:szCs w:val="24"/>
        </w:rPr>
      </w:pPr>
      <w:r>
        <w:rPr>
          <w:rFonts w:asciiTheme="minorHAnsi" w:hAnsiTheme="minorHAnsi"/>
          <w:sz w:val="24"/>
          <w:szCs w:val="24"/>
        </w:rPr>
        <w:t xml:space="preserve">2006/95/EC (Low Voltage Directive) </w:t>
      </w:r>
    </w:p>
    <w:p w:rsidR="003D0002" w:rsidRDefault="003D0002" w:rsidP="009358B3">
      <w:pPr>
        <w:pStyle w:val="NoSpacing"/>
        <w:jc w:val="both"/>
        <w:rPr>
          <w:rFonts w:asciiTheme="minorHAnsi" w:hAnsiTheme="minorHAnsi"/>
          <w:sz w:val="24"/>
          <w:szCs w:val="24"/>
        </w:rPr>
      </w:pPr>
      <w:r>
        <w:rPr>
          <w:rFonts w:asciiTheme="minorHAnsi" w:hAnsiTheme="minorHAnsi"/>
          <w:sz w:val="24"/>
          <w:szCs w:val="24"/>
        </w:rPr>
        <w:t xml:space="preserve">UL510 certificated </w:t>
      </w:r>
      <w:r w:rsidR="00925083">
        <w:rPr>
          <w:rFonts w:asciiTheme="minorHAnsi" w:hAnsiTheme="minorHAnsi"/>
          <w:sz w:val="24"/>
          <w:szCs w:val="24"/>
        </w:rPr>
        <w:t>(Flame Retardant)</w:t>
      </w:r>
    </w:p>
    <w:p w:rsidR="00061D9F" w:rsidRDefault="00061D9F" w:rsidP="00061D9F">
      <w:pPr>
        <w:pStyle w:val="NoSpacing"/>
        <w:jc w:val="both"/>
        <w:rPr>
          <w:rFonts w:asciiTheme="minorHAnsi" w:hAnsiTheme="minorHAnsi"/>
          <w:sz w:val="24"/>
          <w:szCs w:val="24"/>
        </w:rPr>
      </w:pPr>
    </w:p>
    <w:p w:rsidR="00061D9F" w:rsidRDefault="00061D9F" w:rsidP="00061D9F">
      <w:pPr>
        <w:pStyle w:val="NoSpacing"/>
        <w:jc w:val="both"/>
        <w:rPr>
          <w:rFonts w:asciiTheme="minorHAnsi" w:hAnsiTheme="minorHAnsi"/>
          <w:b/>
          <w:sz w:val="24"/>
          <w:szCs w:val="24"/>
        </w:rPr>
      </w:pPr>
      <w:r>
        <w:rPr>
          <w:rFonts w:asciiTheme="minorHAnsi" w:hAnsiTheme="minorHAnsi"/>
          <w:b/>
          <w:sz w:val="24"/>
          <w:szCs w:val="24"/>
        </w:rPr>
        <w:t>Technical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84"/>
        <w:gridCol w:w="1870"/>
        <w:gridCol w:w="2755"/>
      </w:tblGrid>
      <w:tr w:rsidR="00061D9F" w:rsidTr="002E043E">
        <w:tc>
          <w:tcPr>
            <w:tcW w:w="2333"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Description</w:t>
            </w:r>
          </w:p>
        </w:tc>
        <w:tc>
          <w:tcPr>
            <w:tcW w:w="2284"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Units</w:t>
            </w:r>
          </w:p>
        </w:tc>
        <w:tc>
          <w:tcPr>
            <w:tcW w:w="1870"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Value</w:t>
            </w:r>
          </w:p>
        </w:tc>
        <w:tc>
          <w:tcPr>
            <w:tcW w:w="2755"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Test Method</w:t>
            </w:r>
          </w:p>
        </w:tc>
      </w:tr>
      <w:tr w:rsidR="00061D9F" w:rsidTr="002E043E">
        <w:tc>
          <w:tcPr>
            <w:tcW w:w="2333" w:type="dxa"/>
            <w:tcBorders>
              <w:top w:val="single" w:sz="4" w:space="0" w:color="auto"/>
              <w:left w:val="single" w:sz="4" w:space="0" w:color="auto"/>
              <w:bottom w:val="single" w:sz="4" w:space="0" w:color="auto"/>
              <w:right w:val="single" w:sz="4" w:space="0" w:color="auto"/>
            </w:tcBorders>
            <w:hideMark/>
          </w:tcPr>
          <w:p w:rsidR="00061D9F" w:rsidRDefault="006F26F0">
            <w:pPr>
              <w:pStyle w:val="NoSpacing"/>
              <w:spacing w:line="276" w:lineRule="auto"/>
              <w:jc w:val="both"/>
              <w:rPr>
                <w:rFonts w:asciiTheme="minorHAnsi" w:hAnsiTheme="minorHAnsi"/>
                <w:sz w:val="24"/>
                <w:szCs w:val="24"/>
              </w:rPr>
            </w:pPr>
            <w:r>
              <w:rPr>
                <w:rFonts w:asciiTheme="minorHAnsi" w:hAnsiTheme="minorHAnsi"/>
                <w:sz w:val="24"/>
                <w:szCs w:val="24"/>
              </w:rPr>
              <w:t>Total</w:t>
            </w:r>
            <w:r w:rsidR="00061D9F">
              <w:rPr>
                <w:rFonts w:asciiTheme="minorHAnsi" w:hAnsiTheme="minorHAnsi"/>
                <w:sz w:val="24"/>
                <w:szCs w:val="24"/>
              </w:rPr>
              <w:t xml:space="preserve"> thickness</w:t>
            </w:r>
          </w:p>
        </w:tc>
        <w:tc>
          <w:tcPr>
            <w:tcW w:w="2284" w:type="dxa"/>
            <w:tcBorders>
              <w:top w:val="single" w:sz="4" w:space="0" w:color="auto"/>
              <w:left w:val="single" w:sz="4" w:space="0" w:color="auto"/>
              <w:bottom w:val="single" w:sz="4" w:space="0" w:color="auto"/>
              <w:right w:val="single" w:sz="4" w:space="0" w:color="auto"/>
            </w:tcBorders>
            <w:hideMark/>
          </w:tcPr>
          <w:p w:rsidR="00061D9F" w:rsidRDefault="003D0002" w:rsidP="003D0002">
            <w:pPr>
              <w:pStyle w:val="NoSpacing"/>
              <w:spacing w:line="276" w:lineRule="auto"/>
              <w:jc w:val="center"/>
              <w:rPr>
                <w:rFonts w:asciiTheme="minorHAnsi" w:hAnsiTheme="minorHAnsi"/>
                <w:sz w:val="24"/>
                <w:szCs w:val="24"/>
              </w:rPr>
            </w:pPr>
            <w:r>
              <w:rPr>
                <w:rFonts w:asciiTheme="minorHAnsi" w:hAnsiTheme="minorHAnsi"/>
                <w:sz w:val="24"/>
                <w:szCs w:val="24"/>
              </w:rPr>
              <w:t>mm</w:t>
            </w:r>
          </w:p>
        </w:tc>
        <w:tc>
          <w:tcPr>
            <w:tcW w:w="1870"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0.13</w:t>
            </w:r>
            <w:r>
              <w:rPr>
                <w:sz w:val="24"/>
                <w:szCs w:val="24"/>
              </w:rPr>
              <w:t>±</w:t>
            </w:r>
            <w:r>
              <w:rPr>
                <w:rFonts w:asciiTheme="minorHAnsi" w:hAnsiTheme="minorHAnsi"/>
                <w:sz w:val="24"/>
                <w:szCs w:val="24"/>
              </w:rPr>
              <w:t>0.005</w:t>
            </w:r>
          </w:p>
        </w:tc>
        <w:tc>
          <w:tcPr>
            <w:tcW w:w="2755"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GB7125-1999</w:t>
            </w:r>
          </w:p>
        </w:tc>
      </w:tr>
      <w:tr w:rsidR="00061D9F" w:rsidTr="002E043E">
        <w:tc>
          <w:tcPr>
            <w:tcW w:w="2333" w:type="dxa"/>
            <w:tcBorders>
              <w:top w:val="single" w:sz="4" w:space="0" w:color="auto"/>
              <w:left w:val="single" w:sz="4" w:space="0" w:color="auto"/>
              <w:bottom w:val="single" w:sz="4" w:space="0" w:color="auto"/>
              <w:right w:val="single" w:sz="4" w:space="0" w:color="auto"/>
            </w:tcBorders>
            <w:hideMark/>
          </w:tcPr>
          <w:p w:rsidR="00061D9F" w:rsidRDefault="003D0002">
            <w:pPr>
              <w:pStyle w:val="NoSpacing"/>
              <w:spacing w:line="276" w:lineRule="auto"/>
              <w:jc w:val="both"/>
              <w:rPr>
                <w:rFonts w:asciiTheme="minorHAnsi" w:hAnsiTheme="minorHAnsi"/>
                <w:sz w:val="24"/>
                <w:szCs w:val="24"/>
              </w:rPr>
            </w:pPr>
            <w:r>
              <w:rPr>
                <w:rFonts w:asciiTheme="minorHAnsi" w:hAnsiTheme="minorHAnsi"/>
                <w:sz w:val="24"/>
                <w:szCs w:val="24"/>
              </w:rPr>
              <w:t>Adhesive</w:t>
            </w:r>
          </w:p>
        </w:tc>
        <w:tc>
          <w:tcPr>
            <w:tcW w:w="2284" w:type="dxa"/>
            <w:tcBorders>
              <w:top w:val="single" w:sz="4" w:space="0" w:color="auto"/>
              <w:left w:val="single" w:sz="4" w:space="0" w:color="auto"/>
              <w:bottom w:val="single" w:sz="4" w:space="0" w:color="auto"/>
              <w:right w:val="single" w:sz="4" w:space="0" w:color="auto"/>
            </w:tcBorders>
            <w:hideMark/>
          </w:tcPr>
          <w:p w:rsidR="00061D9F" w:rsidRDefault="003D0002" w:rsidP="003D0002">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Rubber</w:t>
            </w:r>
          </w:p>
        </w:tc>
        <w:tc>
          <w:tcPr>
            <w:tcW w:w="2755"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No residue</w:t>
            </w:r>
          </w:p>
        </w:tc>
      </w:tr>
      <w:tr w:rsidR="00061D9F" w:rsidTr="002E043E">
        <w:tc>
          <w:tcPr>
            <w:tcW w:w="2333"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both"/>
              <w:rPr>
                <w:rFonts w:asciiTheme="minorHAnsi" w:hAnsiTheme="minorHAnsi"/>
                <w:sz w:val="24"/>
                <w:szCs w:val="24"/>
              </w:rPr>
            </w:pPr>
            <w:r>
              <w:rPr>
                <w:rFonts w:asciiTheme="minorHAnsi" w:hAnsiTheme="minorHAnsi"/>
                <w:sz w:val="24"/>
                <w:szCs w:val="24"/>
              </w:rPr>
              <w:t>Elongation at break</w:t>
            </w:r>
          </w:p>
        </w:tc>
        <w:tc>
          <w:tcPr>
            <w:tcW w:w="2284" w:type="dxa"/>
            <w:tcBorders>
              <w:top w:val="single" w:sz="4" w:space="0" w:color="auto"/>
              <w:left w:val="single" w:sz="4" w:space="0" w:color="auto"/>
              <w:bottom w:val="single" w:sz="4" w:space="0" w:color="auto"/>
              <w:right w:val="single" w:sz="4" w:space="0" w:color="auto"/>
            </w:tcBorders>
            <w:hideMark/>
          </w:tcPr>
          <w:p w:rsidR="00061D9F" w:rsidRDefault="003D0002" w:rsidP="003D0002">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≥180</w:t>
            </w:r>
          </w:p>
        </w:tc>
        <w:tc>
          <w:tcPr>
            <w:tcW w:w="2755"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G</w:t>
            </w:r>
            <w:r w:rsidR="00E57F05">
              <w:rPr>
                <w:rFonts w:asciiTheme="minorHAnsi" w:hAnsiTheme="minorHAnsi"/>
                <w:sz w:val="24"/>
                <w:szCs w:val="24"/>
              </w:rPr>
              <w:t>B</w:t>
            </w:r>
            <w:r>
              <w:rPr>
                <w:rFonts w:asciiTheme="minorHAnsi" w:hAnsiTheme="minorHAnsi"/>
                <w:sz w:val="24"/>
                <w:szCs w:val="24"/>
              </w:rPr>
              <w:t>7753-1987</w:t>
            </w:r>
          </w:p>
        </w:tc>
      </w:tr>
      <w:tr w:rsidR="00061D9F" w:rsidTr="002E043E">
        <w:tc>
          <w:tcPr>
            <w:tcW w:w="2333" w:type="dxa"/>
            <w:tcBorders>
              <w:top w:val="single" w:sz="4" w:space="0" w:color="auto"/>
              <w:left w:val="single" w:sz="4" w:space="0" w:color="auto"/>
              <w:bottom w:val="single" w:sz="4" w:space="0" w:color="auto"/>
              <w:right w:val="single" w:sz="4" w:space="0" w:color="auto"/>
            </w:tcBorders>
            <w:hideMark/>
          </w:tcPr>
          <w:p w:rsidR="00061D9F" w:rsidRDefault="00061D9F">
            <w:pPr>
              <w:pStyle w:val="NoSpacing"/>
              <w:spacing w:line="276" w:lineRule="auto"/>
              <w:jc w:val="both"/>
              <w:rPr>
                <w:rFonts w:asciiTheme="minorHAnsi" w:hAnsiTheme="minorHAnsi"/>
                <w:sz w:val="24"/>
                <w:szCs w:val="24"/>
              </w:rPr>
            </w:pPr>
            <w:r>
              <w:rPr>
                <w:rFonts w:asciiTheme="minorHAnsi" w:hAnsiTheme="minorHAnsi"/>
                <w:sz w:val="24"/>
                <w:szCs w:val="24"/>
              </w:rPr>
              <w:t>Tensile strength</w:t>
            </w:r>
          </w:p>
        </w:tc>
        <w:tc>
          <w:tcPr>
            <w:tcW w:w="2284" w:type="dxa"/>
            <w:tcBorders>
              <w:top w:val="single" w:sz="4" w:space="0" w:color="auto"/>
              <w:left w:val="single" w:sz="4" w:space="0" w:color="auto"/>
              <w:bottom w:val="single" w:sz="4" w:space="0" w:color="auto"/>
              <w:right w:val="single" w:sz="4" w:space="0" w:color="auto"/>
            </w:tcBorders>
            <w:hideMark/>
          </w:tcPr>
          <w:p w:rsidR="00061D9F" w:rsidRDefault="003D0002" w:rsidP="003D0002">
            <w:pPr>
              <w:pStyle w:val="NoSpacing"/>
              <w:spacing w:line="276" w:lineRule="auto"/>
              <w:jc w:val="center"/>
              <w:rPr>
                <w:rFonts w:asciiTheme="minorHAnsi" w:hAnsiTheme="minorHAnsi"/>
                <w:sz w:val="24"/>
                <w:szCs w:val="24"/>
              </w:rPr>
            </w:pPr>
            <w:r>
              <w:rPr>
                <w:rFonts w:asciiTheme="minorHAnsi" w:hAnsiTheme="minorHAnsi"/>
                <w:sz w:val="24"/>
                <w:szCs w:val="24"/>
              </w:rPr>
              <w:t>N/cm</w:t>
            </w:r>
          </w:p>
        </w:tc>
        <w:tc>
          <w:tcPr>
            <w:tcW w:w="1870"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w:t>
            </w:r>
            <w:r w:rsidR="00E57F05">
              <w:rPr>
                <w:rFonts w:asciiTheme="minorHAnsi" w:hAnsiTheme="minorHAnsi"/>
                <w:sz w:val="24"/>
                <w:szCs w:val="24"/>
              </w:rPr>
              <w:t>22</w:t>
            </w:r>
          </w:p>
        </w:tc>
        <w:tc>
          <w:tcPr>
            <w:tcW w:w="2755" w:type="dxa"/>
            <w:tcBorders>
              <w:top w:val="single" w:sz="4" w:space="0" w:color="auto"/>
              <w:left w:val="single" w:sz="4" w:space="0" w:color="auto"/>
              <w:bottom w:val="single" w:sz="4" w:space="0" w:color="auto"/>
              <w:right w:val="single" w:sz="4" w:space="0" w:color="auto"/>
            </w:tcBorders>
            <w:hideMark/>
          </w:tcPr>
          <w:p w:rsidR="00061D9F" w:rsidRDefault="003D0002" w:rsidP="00AA6FBE">
            <w:pPr>
              <w:pStyle w:val="NoSpacing"/>
              <w:spacing w:line="276" w:lineRule="auto"/>
              <w:jc w:val="center"/>
              <w:rPr>
                <w:rFonts w:asciiTheme="minorHAnsi" w:hAnsiTheme="minorHAnsi"/>
                <w:sz w:val="24"/>
                <w:szCs w:val="24"/>
              </w:rPr>
            </w:pPr>
            <w:r>
              <w:rPr>
                <w:rFonts w:asciiTheme="minorHAnsi" w:hAnsiTheme="minorHAnsi"/>
                <w:sz w:val="24"/>
                <w:szCs w:val="24"/>
              </w:rPr>
              <w:t>G</w:t>
            </w:r>
            <w:r w:rsidR="00E57F05">
              <w:rPr>
                <w:rFonts w:asciiTheme="minorHAnsi" w:hAnsiTheme="minorHAnsi"/>
                <w:sz w:val="24"/>
                <w:szCs w:val="24"/>
              </w:rPr>
              <w:t>B7753-1987</w:t>
            </w:r>
          </w:p>
        </w:tc>
      </w:tr>
      <w:tr w:rsidR="003D0002" w:rsidTr="002E043E">
        <w:tc>
          <w:tcPr>
            <w:tcW w:w="2333" w:type="dxa"/>
            <w:tcBorders>
              <w:top w:val="single" w:sz="4" w:space="0" w:color="auto"/>
              <w:left w:val="single" w:sz="4" w:space="0" w:color="auto"/>
              <w:bottom w:val="single" w:sz="4" w:space="0" w:color="auto"/>
              <w:right w:val="single" w:sz="4" w:space="0" w:color="auto"/>
            </w:tcBorders>
          </w:tcPr>
          <w:p w:rsidR="003D0002" w:rsidRDefault="00E57F05">
            <w:pPr>
              <w:pStyle w:val="NoSpacing"/>
              <w:spacing w:line="276" w:lineRule="auto"/>
              <w:jc w:val="both"/>
              <w:rPr>
                <w:rFonts w:asciiTheme="minorHAnsi" w:hAnsiTheme="minorHAnsi"/>
                <w:sz w:val="24"/>
                <w:szCs w:val="24"/>
              </w:rPr>
            </w:pPr>
            <w:r>
              <w:rPr>
                <w:rFonts w:asciiTheme="minorHAnsi" w:hAnsiTheme="minorHAnsi"/>
                <w:sz w:val="24"/>
                <w:szCs w:val="24"/>
              </w:rPr>
              <w:t>Voltage breakdown</w:t>
            </w:r>
          </w:p>
        </w:tc>
        <w:tc>
          <w:tcPr>
            <w:tcW w:w="2284" w:type="dxa"/>
            <w:tcBorders>
              <w:top w:val="single" w:sz="4" w:space="0" w:color="auto"/>
              <w:left w:val="single" w:sz="4" w:space="0" w:color="auto"/>
              <w:bottom w:val="single" w:sz="4" w:space="0" w:color="auto"/>
              <w:right w:val="single" w:sz="4" w:space="0" w:color="auto"/>
            </w:tcBorders>
          </w:tcPr>
          <w:p w:rsidR="003D0002" w:rsidRDefault="00E57F05" w:rsidP="003D0002">
            <w:pPr>
              <w:pStyle w:val="NoSpacing"/>
              <w:spacing w:line="276" w:lineRule="auto"/>
              <w:jc w:val="center"/>
              <w:rPr>
                <w:rFonts w:asciiTheme="minorHAnsi" w:hAnsiTheme="minorHAnsi"/>
                <w:sz w:val="24"/>
                <w:szCs w:val="24"/>
              </w:rPr>
            </w:pPr>
            <w:r>
              <w:rPr>
                <w:rFonts w:asciiTheme="minorHAnsi" w:hAnsiTheme="minorHAnsi"/>
                <w:sz w:val="24"/>
                <w:szCs w:val="24"/>
              </w:rPr>
              <w:t>KV</w:t>
            </w:r>
          </w:p>
        </w:tc>
        <w:tc>
          <w:tcPr>
            <w:tcW w:w="1870" w:type="dxa"/>
            <w:tcBorders>
              <w:top w:val="single" w:sz="4" w:space="0" w:color="auto"/>
              <w:left w:val="single" w:sz="4" w:space="0" w:color="auto"/>
              <w:bottom w:val="single" w:sz="4" w:space="0" w:color="auto"/>
              <w:right w:val="single" w:sz="4" w:space="0" w:color="auto"/>
            </w:tcBorders>
          </w:tcPr>
          <w:p w:rsidR="003D0002" w:rsidRDefault="00FA61C0" w:rsidP="00AA6FBE">
            <w:pPr>
              <w:pStyle w:val="NoSpacing"/>
              <w:spacing w:line="276" w:lineRule="auto"/>
              <w:jc w:val="center"/>
              <w:rPr>
                <w:rFonts w:asciiTheme="minorHAnsi" w:hAnsiTheme="minorHAnsi"/>
                <w:sz w:val="24"/>
                <w:szCs w:val="24"/>
              </w:rPr>
            </w:pPr>
            <w:r>
              <w:rPr>
                <w:rFonts w:asciiTheme="minorHAnsi" w:hAnsiTheme="minorHAnsi"/>
                <w:sz w:val="24"/>
                <w:szCs w:val="24"/>
              </w:rPr>
              <w:t>6</w:t>
            </w:r>
          </w:p>
        </w:tc>
        <w:tc>
          <w:tcPr>
            <w:tcW w:w="2755" w:type="dxa"/>
            <w:tcBorders>
              <w:top w:val="single" w:sz="4" w:space="0" w:color="auto"/>
              <w:left w:val="single" w:sz="4" w:space="0" w:color="auto"/>
              <w:bottom w:val="single" w:sz="4" w:space="0" w:color="auto"/>
              <w:right w:val="single" w:sz="4" w:space="0" w:color="auto"/>
            </w:tcBorders>
          </w:tcPr>
          <w:p w:rsidR="003D0002" w:rsidRDefault="00C516E7" w:rsidP="00AA6FBE">
            <w:pPr>
              <w:pStyle w:val="NoSpacing"/>
              <w:spacing w:line="276" w:lineRule="auto"/>
              <w:jc w:val="center"/>
              <w:rPr>
                <w:rFonts w:asciiTheme="minorHAnsi" w:hAnsiTheme="minorHAnsi"/>
                <w:sz w:val="24"/>
                <w:szCs w:val="24"/>
              </w:rPr>
            </w:pPr>
            <w:r>
              <w:rPr>
                <w:rFonts w:asciiTheme="minorHAnsi" w:hAnsiTheme="minorHAnsi"/>
                <w:sz w:val="24"/>
                <w:szCs w:val="24"/>
              </w:rPr>
              <w:t>EN 60454-4</w:t>
            </w:r>
            <w:r w:rsidR="002E043E">
              <w:rPr>
                <w:rFonts w:asciiTheme="minorHAnsi" w:hAnsiTheme="minorHAnsi"/>
                <w:sz w:val="24"/>
                <w:szCs w:val="24"/>
              </w:rPr>
              <w:t>-3-12:2006</w:t>
            </w:r>
          </w:p>
        </w:tc>
      </w:tr>
      <w:tr w:rsidR="00E57F05" w:rsidTr="002E043E">
        <w:tc>
          <w:tcPr>
            <w:tcW w:w="2333" w:type="dxa"/>
            <w:tcBorders>
              <w:top w:val="single" w:sz="4" w:space="0" w:color="auto"/>
              <w:left w:val="single" w:sz="4" w:space="0" w:color="auto"/>
              <w:bottom w:val="single" w:sz="4" w:space="0" w:color="auto"/>
              <w:right w:val="single" w:sz="4" w:space="0" w:color="auto"/>
            </w:tcBorders>
          </w:tcPr>
          <w:p w:rsidR="00E57F05" w:rsidRDefault="00E57F05">
            <w:pPr>
              <w:pStyle w:val="NoSpacing"/>
              <w:spacing w:line="276" w:lineRule="auto"/>
              <w:jc w:val="both"/>
              <w:rPr>
                <w:rFonts w:asciiTheme="minorHAnsi" w:hAnsiTheme="minorHAnsi"/>
                <w:sz w:val="24"/>
                <w:szCs w:val="24"/>
              </w:rPr>
            </w:pPr>
            <w:r>
              <w:rPr>
                <w:rFonts w:asciiTheme="minorHAnsi" w:hAnsiTheme="minorHAnsi"/>
                <w:sz w:val="24"/>
                <w:szCs w:val="24"/>
              </w:rPr>
              <w:t>Flammability</w:t>
            </w:r>
          </w:p>
        </w:tc>
        <w:tc>
          <w:tcPr>
            <w:tcW w:w="2284" w:type="dxa"/>
            <w:tcBorders>
              <w:top w:val="single" w:sz="4" w:space="0" w:color="auto"/>
              <w:left w:val="single" w:sz="4" w:space="0" w:color="auto"/>
              <w:bottom w:val="single" w:sz="4" w:space="0" w:color="auto"/>
              <w:right w:val="single" w:sz="4" w:space="0" w:color="auto"/>
            </w:tcBorders>
          </w:tcPr>
          <w:p w:rsidR="00E57F05" w:rsidRDefault="00E57F05" w:rsidP="003D0002">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70" w:type="dxa"/>
            <w:tcBorders>
              <w:top w:val="single" w:sz="4" w:space="0" w:color="auto"/>
              <w:left w:val="single" w:sz="4" w:space="0" w:color="auto"/>
              <w:bottom w:val="single" w:sz="4" w:space="0" w:color="auto"/>
              <w:right w:val="single" w:sz="4" w:space="0" w:color="auto"/>
            </w:tcBorders>
          </w:tcPr>
          <w:p w:rsidR="00E57F05" w:rsidRDefault="00E57F05" w:rsidP="00AA6FBE">
            <w:pPr>
              <w:pStyle w:val="NoSpacing"/>
              <w:spacing w:line="276" w:lineRule="auto"/>
              <w:jc w:val="center"/>
              <w:rPr>
                <w:rFonts w:asciiTheme="minorHAnsi" w:hAnsiTheme="minorHAnsi"/>
                <w:sz w:val="24"/>
                <w:szCs w:val="24"/>
              </w:rPr>
            </w:pPr>
            <w:r>
              <w:rPr>
                <w:rFonts w:asciiTheme="minorHAnsi" w:hAnsiTheme="minorHAnsi"/>
                <w:sz w:val="24"/>
                <w:szCs w:val="24"/>
              </w:rPr>
              <w:t>PASSED</w:t>
            </w:r>
          </w:p>
        </w:tc>
        <w:tc>
          <w:tcPr>
            <w:tcW w:w="2755" w:type="dxa"/>
            <w:tcBorders>
              <w:top w:val="single" w:sz="4" w:space="0" w:color="auto"/>
              <w:left w:val="single" w:sz="4" w:space="0" w:color="auto"/>
              <w:bottom w:val="single" w:sz="4" w:space="0" w:color="auto"/>
              <w:right w:val="single" w:sz="4" w:space="0" w:color="auto"/>
            </w:tcBorders>
          </w:tcPr>
          <w:p w:rsidR="00E57F05" w:rsidRDefault="00E57F05" w:rsidP="00AA6FBE">
            <w:pPr>
              <w:pStyle w:val="NoSpacing"/>
              <w:spacing w:line="276" w:lineRule="auto"/>
              <w:jc w:val="center"/>
              <w:rPr>
                <w:rFonts w:asciiTheme="minorHAnsi" w:hAnsiTheme="minorHAnsi"/>
                <w:sz w:val="24"/>
                <w:szCs w:val="24"/>
              </w:rPr>
            </w:pPr>
            <w:r>
              <w:rPr>
                <w:rFonts w:asciiTheme="minorHAnsi" w:hAnsiTheme="minorHAnsi"/>
                <w:sz w:val="24"/>
                <w:szCs w:val="24"/>
              </w:rPr>
              <w:t>UL510</w:t>
            </w:r>
          </w:p>
        </w:tc>
      </w:tr>
    </w:tbl>
    <w:p w:rsidR="00061D9F" w:rsidRDefault="00061D9F" w:rsidP="00061D9F">
      <w:pPr>
        <w:pStyle w:val="NoSpacing"/>
        <w:jc w:val="both"/>
        <w:rPr>
          <w:rFonts w:asciiTheme="minorHAnsi" w:hAnsiTheme="minorHAnsi"/>
          <w:sz w:val="24"/>
          <w:szCs w:val="24"/>
        </w:rPr>
      </w:pPr>
    </w:p>
    <w:p w:rsidR="00EA7B46" w:rsidRDefault="00EA7B46" w:rsidP="00EA7B46">
      <w:pPr>
        <w:pStyle w:val="NoSpacing"/>
        <w:jc w:val="both"/>
        <w:rPr>
          <w:rFonts w:asciiTheme="minorHAnsi" w:hAnsiTheme="minorHAnsi"/>
          <w:b/>
          <w:sz w:val="24"/>
          <w:szCs w:val="24"/>
          <w:u w:val="single"/>
        </w:rPr>
      </w:pPr>
      <w:r>
        <w:rPr>
          <w:rFonts w:asciiTheme="minorHAnsi" w:hAnsiTheme="minorHAnsi"/>
          <w:b/>
          <w:sz w:val="24"/>
          <w:szCs w:val="24"/>
          <w:u w:val="single"/>
        </w:rPr>
        <w:t xml:space="preserve">Declaration of Conformity Information </w:t>
      </w:r>
    </w:p>
    <w:p w:rsidR="00FC32E6" w:rsidRPr="00FC32E6" w:rsidRDefault="00FA54DC" w:rsidP="00EA7B46">
      <w:pPr>
        <w:pStyle w:val="NoSpacing"/>
        <w:jc w:val="both"/>
        <w:rPr>
          <w:rFonts w:asciiTheme="minorHAnsi" w:hAnsiTheme="minorHAnsi"/>
          <w:sz w:val="24"/>
          <w:szCs w:val="24"/>
        </w:rPr>
      </w:pPr>
      <w:r>
        <w:rPr>
          <w:rFonts w:asciiTheme="minorHAnsi" w:hAnsiTheme="minorHAnsi"/>
          <w:sz w:val="24"/>
          <w:szCs w:val="24"/>
        </w:rPr>
        <w:t>EN</w:t>
      </w:r>
      <w:r w:rsidR="00294769">
        <w:rPr>
          <w:rFonts w:asciiTheme="minorHAnsi" w:hAnsiTheme="minorHAnsi"/>
          <w:sz w:val="24"/>
          <w:szCs w:val="24"/>
        </w:rPr>
        <w:t xml:space="preserve"> </w:t>
      </w:r>
      <w:r>
        <w:rPr>
          <w:rFonts w:asciiTheme="minorHAnsi" w:hAnsiTheme="minorHAnsi"/>
          <w:sz w:val="24"/>
          <w:szCs w:val="24"/>
        </w:rPr>
        <w:t>60454</w:t>
      </w:r>
      <w:r w:rsidR="00294769">
        <w:rPr>
          <w:rFonts w:asciiTheme="minorHAnsi" w:hAnsiTheme="minorHAnsi"/>
          <w:sz w:val="24"/>
          <w:szCs w:val="24"/>
        </w:rPr>
        <w:t>-3-12:2006</w:t>
      </w:r>
      <w:r>
        <w:rPr>
          <w:rFonts w:asciiTheme="minorHAnsi" w:hAnsiTheme="minorHAnsi"/>
          <w:sz w:val="24"/>
          <w:szCs w:val="24"/>
        </w:rPr>
        <w:t xml:space="preserve">, IEC 62321:2008, 2006/95/EC (Low Voltage Directive) BS3924, </w:t>
      </w:r>
      <w:r w:rsidR="00FC32E6">
        <w:rPr>
          <w:rFonts w:asciiTheme="minorHAnsi" w:hAnsiTheme="minorHAnsi"/>
          <w:sz w:val="24"/>
          <w:szCs w:val="24"/>
        </w:rPr>
        <w:t xml:space="preserve">UL510 </w:t>
      </w:r>
    </w:p>
    <w:p w:rsidR="00EA7B46" w:rsidRDefault="00EA7B46" w:rsidP="00EA7B46">
      <w:pPr>
        <w:pStyle w:val="NoSpacing"/>
        <w:jc w:val="both"/>
        <w:rPr>
          <w:rFonts w:asciiTheme="minorHAnsi" w:hAnsiTheme="minorHAnsi"/>
          <w:sz w:val="24"/>
          <w:szCs w:val="24"/>
        </w:rPr>
      </w:pPr>
    </w:p>
    <w:p w:rsidR="00FA54DC" w:rsidRDefault="00EA7B46" w:rsidP="00EA7B46">
      <w:pPr>
        <w:pStyle w:val="NoSpacing"/>
        <w:jc w:val="both"/>
        <w:rPr>
          <w:rFonts w:asciiTheme="minorHAnsi" w:hAnsiTheme="minorHAnsi"/>
          <w:sz w:val="24"/>
          <w:szCs w:val="24"/>
        </w:rPr>
      </w:pPr>
      <w:r>
        <w:rPr>
          <w:rFonts w:asciiTheme="minorHAnsi" w:hAnsiTheme="minorHAnsi"/>
          <w:b/>
          <w:sz w:val="24"/>
          <w:szCs w:val="24"/>
          <w:u w:val="single"/>
        </w:rPr>
        <w:t>REACH SVHC Status</w:t>
      </w:r>
      <w:r w:rsidR="00FA54DC">
        <w:rPr>
          <w:rFonts w:asciiTheme="minorHAnsi" w:hAnsiTheme="minorHAnsi"/>
          <w:sz w:val="24"/>
          <w:szCs w:val="24"/>
        </w:rPr>
        <w:t xml:space="preserve"> </w:t>
      </w:r>
    </w:p>
    <w:p w:rsidR="00EA7B46" w:rsidRDefault="00EA7B46" w:rsidP="00EA7B46">
      <w:pPr>
        <w:pStyle w:val="NoSpacing"/>
        <w:jc w:val="both"/>
        <w:rPr>
          <w:rFonts w:asciiTheme="minorHAnsi" w:hAnsiTheme="minorHAnsi"/>
          <w:sz w:val="24"/>
          <w:szCs w:val="24"/>
        </w:rPr>
      </w:pPr>
      <w:r>
        <w:rPr>
          <w:rFonts w:asciiTheme="minorHAnsi" w:hAnsiTheme="minorHAnsi"/>
          <w:sz w:val="24"/>
          <w:szCs w:val="24"/>
        </w:rPr>
        <w:t>NO SHVC present ac</w:t>
      </w:r>
      <w:r w:rsidR="00925083">
        <w:rPr>
          <w:rFonts w:asciiTheme="minorHAnsi" w:hAnsiTheme="minorHAnsi"/>
          <w:sz w:val="24"/>
          <w:szCs w:val="24"/>
        </w:rPr>
        <w:t>cording to candidates list of 15</w:t>
      </w:r>
      <w:r>
        <w:rPr>
          <w:rFonts w:asciiTheme="minorHAnsi" w:hAnsiTheme="minorHAnsi"/>
          <w:sz w:val="24"/>
          <w:szCs w:val="24"/>
          <w:vertAlign w:val="superscript"/>
        </w:rPr>
        <w:t>th</w:t>
      </w:r>
      <w:r w:rsidR="00925083">
        <w:rPr>
          <w:rFonts w:asciiTheme="minorHAnsi" w:hAnsiTheme="minorHAnsi"/>
          <w:sz w:val="24"/>
          <w:szCs w:val="24"/>
        </w:rPr>
        <w:t xml:space="preserve"> June 2015</w:t>
      </w:r>
    </w:p>
    <w:p w:rsidR="00EA7B46" w:rsidRDefault="00EA7B46" w:rsidP="00EA7B46">
      <w:pPr>
        <w:pStyle w:val="NoSpacing"/>
        <w:jc w:val="both"/>
        <w:rPr>
          <w:rFonts w:asciiTheme="minorHAnsi" w:hAnsiTheme="minorHAnsi"/>
          <w:b/>
          <w:sz w:val="24"/>
          <w:szCs w:val="24"/>
          <w:u w:val="single"/>
        </w:rPr>
      </w:pPr>
    </w:p>
    <w:p w:rsidR="00FA54DC" w:rsidRDefault="00EA7B46" w:rsidP="00EA7B46">
      <w:pPr>
        <w:pStyle w:val="NoSpacing"/>
        <w:jc w:val="both"/>
        <w:rPr>
          <w:rFonts w:asciiTheme="minorHAnsi" w:hAnsiTheme="minorHAnsi"/>
          <w:b/>
          <w:sz w:val="24"/>
          <w:szCs w:val="24"/>
          <w:u w:val="single"/>
        </w:rPr>
      </w:pPr>
      <w:r>
        <w:rPr>
          <w:rFonts w:asciiTheme="minorHAnsi" w:hAnsiTheme="minorHAnsi"/>
          <w:b/>
          <w:sz w:val="24"/>
          <w:szCs w:val="24"/>
          <w:u w:val="single"/>
        </w:rPr>
        <w:t xml:space="preserve">RoHS Compliance Status </w:t>
      </w:r>
    </w:p>
    <w:p w:rsidR="00EA7B46" w:rsidRDefault="00FA54DC" w:rsidP="00EA7B46">
      <w:pPr>
        <w:pStyle w:val="NoSpacing"/>
        <w:jc w:val="both"/>
        <w:rPr>
          <w:rFonts w:asciiTheme="minorHAnsi" w:hAnsiTheme="minorHAnsi"/>
          <w:sz w:val="24"/>
          <w:szCs w:val="24"/>
        </w:rPr>
      </w:pPr>
      <w:r>
        <w:rPr>
          <w:rFonts w:asciiTheme="minorHAnsi" w:hAnsiTheme="minorHAnsi"/>
          <w:sz w:val="24"/>
          <w:szCs w:val="24"/>
        </w:rPr>
        <w:t>2011/65/EU</w:t>
      </w:r>
    </w:p>
    <w:p w:rsidR="00EA7B46" w:rsidRDefault="00EA7B46" w:rsidP="00EA7B46">
      <w:pPr>
        <w:pStyle w:val="NoSpacing"/>
        <w:jc w:val="both"/>
        <w:rPr>
          <w:rFonts w:asciiTheme="minorHAnsi" w:hAnsiTheme="minorHAnsi"/>
          <w:sz w:val="24"/>
          <w:szCs w:val="24"/>
        </w:rPr>
      </w:pPr>
    </w:p>
    <w:p w:rsidR="00EA7B46" w:rsidRPr="007F4F66" w:rsidRDefault="00EA7B46" w:rsidP="00EA7B46">
      <w:pPr>
        <w:pStyle w:val="NoSpacing"/>
        <w:jc w:val="both"/>
        <w:rPr>
          <w:rFonts w:asciiTheme="minorHAnsi" w:hAnsiTheme="minorHAnsi"/>
          <w:b/>
          <w:sz w:val="24"/>
          <w:szCs w:val="24"/>
          <w:u w:val="single"/>
        </w:rPr>
      </w:pPr>
      <w:r>
        <w:rPr>
          <w:rFonts w:asciiTheme="minorHAnsi" w:hAnsiTheme="minorHAnsi"/>
          <w:b/>
          <w:sz w:val="24"/>
          <w:szCs w:val="24"/>
          <w:u w:val="single"/>
        </w:rPr>
        <w:t>Storage Details</w:t>
      </w:r>
    </w:p>
    <w:p w:rsidR="00EA4CB9" w:rsidRPr="00FA54DC" w:rsidRDefault="00F578C8" w:rsidP="00FA54DC">
      <w:pPr>
        <w:pStyle w:val="NoSpacing"/>
        <w:jc w:val="both"/>
        <w:rPr>
          <w:rFonts w:asciiTheme="minorHAnsi" w:hAnsiTheme="minorHAnsi"/>
          <w:sz w:val="24"/>
          <w:szCs w:val="24"/>
        </w:rPr>
      </w:pPr>
      <w:r w:rsidRPr="002017AF">
        <w:rPr>
          <w:rFonts w:asciiTheme="minorHAnsi" w:hAnsiTheme="minorHAnsi"/>
          <w:sz w:val="24"/>
          <w:szCs w:val="24"/>
          <w:highlight w:val="yellow"/>
        </w:rPr>
        <w:t>Shelf life recommended 2 years</w:t>
      </w:r>
      <w:r w:rsidR="00EA7B46" w:rsidRPr="002017AF">
        <w:rPr>
          <w:rFonts w:asciiTheme="minorHAnsi" w:hAnsiTheme="minorHAnsi"/>
          <w:sz w:val="24"/>
          <w:szCs w:val="24"/>
          <w:highlight w:val="yellow"/>
        </w:rPr>
        <w:t xml:space="preserve"> from date of despatch at the moderate temperature and humidity environment.</w:t>
      </w:r>
      <w:bookmarkStart w:id="0" w:name="_GoBack"/>
      <w:bookmarkEnd w:id="0"/>
    </w:p>
    <w:p w:rsidR="00964A08" w:rsidRPr="00AB2457" w:rsidRDefault="00964A08" w:rsidP="00AB2457">
      <w:pPr>
        <w:jc w:val="both"/>
        <w:rPr>
          <w:sz w:val="16"/>
        </w:rPr>
      </w:pPr>
    </w:p>
    <w:sectPr w:rsidR="00964A08" w:rsidRPr="00AB24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A4" w:rsidRDefault="00D636A4" w:rsidP="00D636A4">
      <w:pPr>
        <w:spacing w:after="0" w:line="240" w:lineRule="auto"/>
      </w:pPr>
      <w:r>
        <w:separator/>
      </w:r>
    </w:p>
  </w:endnote>
  <w:endnote w:type="continuationSeparator" w:id="0">
    <w:p w:rsidR="00D636A4" w:rsidRDefault="00D636A4" w:rsidP="00D6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66" w:rsidRPr="00CC5193" w:rsidRDefault="007F4F66" w:rsidP="007F4F66">
    <w:pPr>
      <w:spacing w:after="0"/>
      <w:jc w:val="both"/>
      <w:rPr>
        <w:sz w:val="16"/>
      </w:rPr>
    </w:pPr>
    <w:r w:rsidRPr="00AB2457">
      <w:rPr>
        <w:sz w:val="16"/>
      </w:rPr>
      <w:t>The information supplied is accurate to the best of Bruce Douglas Marketing’s knowledge and is based upon all current data available to it. Properties quoted are typical and do not therefore constitute a specification. Customers must complete their own assessment of the product for its intended application under their own conditions. Our technical advice is to be regarded as an expression of opinion only and although such advice is given in good faith, it shall not, in any circumstances, be regarded as the basis of or as being a representation or statement of fact. This applies also where propriety or protective rights of third parties are involved. Any liability arising in respect of our products will be strictly limited to the value of those products charged to the customer and shall not extend to any consequential loss whatsoever and howsoever arising.  This document does not form part of any contract with a customer</w:t>
    </w:r>
    <w:r>
      <w:rPr>
        <w:sz w:val="16"/>
      </w:rPr>
      <w:t xml:space="preserve"> (02/05/13)</w:t>
    </w:r>
  </w:p>
  <w:p w:rsidR="00D636A4" w:rsidRPr="007F4F66" w:rsidRDefault="00D636A4" w:rsidP="007F4F66">
    <w:pPr>
      <w:pStyle w:val="Footer"/>
      <w:pBdr>
        <w:top w:val="thinThickSmallGap" w:sz="24" w:space="1" w:color="622423" w:themeColor="accent2" w:themeShade="7F"/>
      </w:pBdr>
      <w:rPr>
        <w:rFonts w:eastAsiaTheme="majorEastAsia" w:cstheme="majorBidi"/>
      </w:rPr>
    </w:pPr>
    <w:r w:rsidRPr="007E6120">
      <w:rPr>
        <w:rFonts w:eastAsiaTheme="majorEastAsia" w:cstheme="majorBidi"/>
      </w:rPr>
      <w:t>All Printed Documents are Uncontrolled</w:t>
    </w:r>
    <w:r w:rsidRPr="007E6120">
      <w:rPr>
        <w:rFonts w:eastAsiaTheme="majorEastAsia" w:cstheme="majorBidi"/>
      </w:rPr>
      <w:ptab w:relativeTo="margin" w:alignment="right" w:leader="none"/>
    </w:r>
    <w:r w:rsidRPr="007E6120">
      <w:rPr>
        <w:rFonts w:eastAsiaTheme="majorEastAsia" w:cstheme="majorBidi"/>
      </w:rPr>
      <w:t xml:space="preserve">Page </w:t>
    </w:r>
    <w:r w:rsidRPr="007E6120">
      <w:rPr>
        <w:rFonts w:eastAsiaTheme="minorEastAsia" w:cstheme="minorBidi"/>
      </w:rPr>
      <w:fldChar w:fldCharType="begin"/>
    </w:r>
    <w:r w:rsidRPr="007E6120">
      <w:instrText xml:space="preserve"> PAGE   \* MERGEFORMAT </w:instrText>
    </w:r>
    <w:r w:rsidRPr="007E6120">
      <w:rPr>
        <w:rFonts w:eastAsiaTheme="minorEastAsia" w:cstheme="minorBidi"/>
      </w:rPr>
      <w:fldChar w:fldCharType="separate"/>
    </w:r>
    <w:r w:rsidR="002017AF" w:rsidRPr="002017AF">
      <w:rPr>
        <w:rFonts w:eastAsiaTheme="majorEastAsia" w:cstheme="majorBidi"/>
        <w:noProof/>
      </w:rPr>
      <w:t>1</w:t>
    </w:r>
    <w:r w:rsidRPr="007E6120">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A4" w:rsidRDefault="00D636A4" w:rsidP="00D636A4">
      <w:pPr>
        <w:spacing w:after="0" w:line="240" w:lineRule="auto"/>
      </w:pPr>
      <w:r>
        <w:separator/>
      </w:r>
    </w:p>
  </w:footnote>
  <w:footnote w:type="continuationSeparator" w:id="0">
    <w:p w:rsidR="00D636A4" w:rsidRDefault="00D636A4" w:rsidP="00D63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3827"/>
      <w:gridCol w:w="2551"/>
    </w:tblGrid>
    <w:tr w:rsidR="00D636A4" w:rsidRPr="00AF0FEA" w:rsidTr="00761299">
      <w:trPr>
        <w:cantSplit/>
        <w:trHeight w:val="277"/>
      </w:trPr>
      <w:tc>
        <w:tcPr>
          <w:tcW w:w="3074" w:type="dxa"/>
        </w:tcPr>
        <w:p w:rsidR="00D636A4" w:rsidRPr="00AF0FEA" w:rsidRDefault="00A61A77" w:rsidP="00761299">
          <w:pPr>
            <w:spacing w:after="0" w:line="240" w:lineRule="auto"/>
            <w:rPr>
              <w:rFonts w:eastAsia="Times New Roman"/>
              <w:sz w:val="24"/>
              <w:szCs w:val="24"/>
            </w:rPr>
          </w:pPr>
          <w:r>
            <w:rPr>
              <w:rFonts w:eastAsia="Times New Roman"/>
              <w:sz w:val="24"/>
              <w:szCs w:val="24"/>
            </w:rPr>
            <w:t>Technical Data Sheet</w:t>
          </w:r>
        </w:p>
      </w:tc>
      <w:tc>
        <w:tcPr>
          <w:tcW w:w="3827" w:type="dxa"/>
        </w:tcPr>
        <w:p w:rsidR="00D636A4" w:rsidRPr="00AF0FEA" w:rsidRDefault="00D636A4" w:rsidP="00EA4CB9">
          <w:pPr>
            <w:spacing w:after="0" w:line="240" w:lineRule="auto"/>
            <w:rPr>
              <w:rFonts w:eastAsia="Times New Roman"/>
              <w:sz w:val="24"/>
              <w:szCs w:val="24"/>
            </w:rPr>
          </w:pPr>
          <w:r>
            <w:rPr>
              <w:rFonts w:eastAsia="Times New Roman"/>
              <w:sz w:val="24"/>
              <w:szCs w:val="24"/>
            </w:rPr>
            <w:t>Titl</w:t>
          </w:r>
          <w:r w:rsidR="00A61A77">
            <w:rPr>
              <w:rFonts w:eastAsia="Times New Roman"/>
              <w:sz w:val="24"/>
              <w:szCs w:val="24"/>
            </w:rPr>
            <w:t xml:space="preserve">e: </w:t>
          </w:r>
          <w:r w:rsidR="00BA4ABD">
            <w:rPr>
              <w:rFonts w:eastAsia="Times New Roman"/>
              <w:sz w:val="24"/>
              <w:szCs w:val="24"/>
            </w:rPr>
            <w:t>0035 PVC Electrical</w:t>
          </w:r>
        </w:p>
      </w:tc>
      <w:tc>
        <w:tcPr>
          <w:tcW w:w="2551" w:type="dxa"/>
          <w:vMerge w:val="restart"/>
        </w:tcPr>
        <w:p w:rsidR="00D636A4" w:rsidRPr="00AF0FEA" w:rsidRDefault="00D636A4" w:rsidP="00761299">
          <w:pPr>
            <w:spacing w:after="0" w:line="240" w:lineRule="auto"/>
            <w:rPr>
              <w:rFonts w:eastAsia="Times New Roman"/>
              <w:sz w:val="24"/>
              <w:szCs w:val="24"/>
            </w:rPr>
          </w:pPr>
          <w:r>
            <w:rPr>
              <w:noProof/>
              <w:lang w:eastAsia="en-GB"/>
            </w:rPr>
            <w:drawing>
              <wp:inline distT="0" distB="0" distL="0" distR="0" wp14:anchorId="2B5FA0B3" wp14:editId="0EA4B112">
                <wp:extent cx="1605516" cy="786809"/>
                <wp:effectExtent l="0" t="0" r="0" b="0"/>
                <wp:docPr id="1" name="irc_mi" descr="http://www.anyfixing.co.uk/Images/ultrat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yfixing.co.uk/Images/ultratap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716" cy="786907"/>
                        </a:xfrm>
                        <a:prstGeom prst="rect">
                          <a:avLst/>
                        </a:prstGeom>
                        <a:noFill/>
                        <a:ln>
                          <a:noFill/>
                        </a:ln>
                      </pic:spPr>
                    </pic:pic>
                  </a:graphicData>
                </a:graphic>
              </wp:inline>
            </w:drawing>
          </w:r>
        </w:p>
      </w:tc>
    </w:tr>
    <w:tr w:rsidR="00D636A4" w:rsidRPr="00AF0FEA" w:rsidTr="00761299">
      <w:trPr>
        <w:cantSplit/>
        <w:trHeight w:val="276"/>
      </w:trPr>
      <w:tc>
        <w:tcPr>
          <w:tcW w:w="3074" w:type="dxa"/>
          <w:tcBorders>
            <w:bottom w:val="single" w:sz="4" w:space="0" w:color="auto"/>
          </w:tcBorders>
        </w:tcPr>
        <w:p w:rsidR="00D636A4" w:rsidRPr="00AF0FEA" w:rsidRDefault="00FA54DC" w:rsidP="00761299">
          <w:pPr>
            <w:spacing w:after="0" w:line="240" w:lineRule="auto"/>
            <w:rPr>
              <w:rFonts w:eastAsia="Times New Roman"/>
              <w:sz w:val="24"/>
              <w:szCs w:val="24"/>
            </w:rPr>
          </w:pPr>
          <w:r>
            <w:rPr>
              <w:rFonts w:eastAsia="Times New Roman"/>
              <w:sz w:val="24"/>
              <w:szCs w:val="24"/>
            </w:rPr>
            <w:t>Effective Date: July 2015</w:t>
          </w:r>
        </w:p>
      </w:tc>
      <w:tc>
        <w:tcPr>
          <w:tcW w:w="3827" w:type="dxa"/>
          <w:tcBorders>
            <w:bottom w:val="single" w:sz="4" w:space="0" w:color="auto"/>
          </w:tcBorders>
        </w:tcPr>
        <w:p w:rsidR="00D636A4" w:rsidRPr="00AF0FEA" w:rsidRDefault="00A61A77" w:rsidP="00761299">
          <w:pPr>
            <w:spacing w:after="0" w:line="240" w:lineRule="auto"/>
            <w:rPr>
              <w:rFonts w:eastAsia="Times New Roman"/>
              <w:sz w:val="24"/>
              <w:szCs w:val="24"/>
            </w:rPr>
          </w:pPr>
          <w:r>
            <w:rPr>
              <w:rFonts w:eastAsia="Times New Roman"/>
              <w:sz w:val="24"/>
              <w:szCs w:val="24"/>
            </w:rPr>
            <w:t>Prepared By:</w:t>
          </w:r>
          <w:r w:rsidR="00BA4ABD">
            <w:rPr>
              <w:rFonts w:eastAsia="Times New Roman"/>
              <w:sz w:val="24"/>
              <w:szCs w:val="24"/>
            </w:rPr>
            <w:t xml:space="preserve"> Sam Murphy</w:t>
          </w:r>
        </w:p>
      </w:tc>
      <w:tc>
        <w:tcPr>
          <w:tcW w:w="2551" w:type="dxa"/>
          <w:vMerge/>
        </w:tcPr>
        <w:p w:rsidR="00D636A4" w:rsidRPr="00AF0FEA" w:rsidRDefault="00D636A4" w:rsidP="00761299">
          <w:pPr>
            <w:spacing w:after="0" w:line="240" w:lineRule="auto"/>
            <w:rPr>
              <w:rFonts w:eastAsia="Times New Roman"/>
              <w:sz w:val="24"/>
              <w:szCs w:val="24"/>
            </w:rPr>
          </w:pPr>
        </w:p>
      </w:tc>
    </w:tr>
    <w:tr w:rsidR="00D636A4" w:rsidRPr="00AF0FEA" w:rsidTr="00761299">
      <w:trPr>
        <w:cantSplit/>
        <w:trHeight w:val="364"/>
      </w:trPr>
      <w:tc>
        <w:tcPr>
          <w:tcW w:w="3074" w:type="dxa"/>
          <w:tcBorders>
            <w:bottom w:val="single" w:sz="4" w:space="0" w:color="auto"/>
          </w:tcBorders>
        </w:tcPr>
        <w:p w:rsidR="00D636A4" w:rsidRPr="00AF0FEA" w:rsidRDefault="00FA54DC" w:rsidP="00761299">
          <w:pPr>
            <w:spacing w:after="0" w:line="240" w:lineRule="auto"/>
            <w:rPr>
              <w:rFonts w:eastAsia="Times New Roman"/>
              <w:sz w:val="24"/>
              <w:szCs w:val="24"/>
            </w:rPr>
          </w:pPr>
          <w:r>
            <w:rPr>
              <w:rFonts w:eastAsia="Times New Roman"/>
              <w:sz w:val="24"/>
              <w:szCs w:val="24"/>
            </w:rPr>
            <w:t>Issue Number: 2</w:t>
          </w:r>
        </w:p>
      </w:tc>
      <w:tc>
        <w:tcPr>
          <w:tcW w:w="3827" w:type="dxa"/>
          <w:tcBorders>
            <w:bottom w:val="single" w:sz="4" w:space="0" w:color="auto"/>
          </w:tcBorders>
        </w:tcPr>
        <w:p w:rsidR="00D636A4" w:rsidRPr="00AF0FEA" w:rsidRDefault="00D636A4" w:rsidP="00761299">
          <w:pPr>
            <w:spacing w:after="0" w:line="240" w:lineRule="auto"/>
            <w:rPr>
              <w:rFonts w:eastAsia="Times New Roman"/>
              <w:sz w:val="24"/>
              <w:szCs w:val="24"/>
            </w:rPr>
          </w:pPr>
          <w:r w:rsidRPr="00AF0FEA">
            <w:rPr>
              <w:rFonts w:eastAsia="Times New Roman"/>
              <w:sz w:val="24"/>
              <w:szCs w:val="24"/>
            </w:rPr>
            <w:t xml:space="preserve">Authorised By: </w:t>
          </w:r>
          <w:r w:rsidR="00925083">
            <w:rPr>
              <w:rFonts w:eastAsia="Times New Roman"/>
              <w:sz w:val="24"/>
              <w:szCs w:val="24"/>
            </w:rPr>
            <w:t>Robin Lamb</w:t>
          </w:r>
        </w:p>
      </w:tc>
      <w:tc>
        <w:tcPr>
          <w:tcW w:w="2551" w:type="dxa"/>
          <w:vMerge/>
          <w:tcBorders>
            <w:bottom w:val="single" w:sz="4" w:space="0" w:color="auto"/>
          </w:tcBorders>
        </w:tcPr>
        <w:p w:rsidR="00D636A4" w:rsidRPr="00AF0FEA" w:rsidRDefault="00D636A4" w:rsidP="00761299">
          <w:pPr>
            <w:spacing w:after="0" w:line="240" w:lineRule="auto"/>
            <w:rPr>
              <w:rFonts w:eastAsia="Times New Roman"/>
              <w:sz w:val="24"/>
              <w:szCs w:val="24"/>
            </w:rPr>
          </w:pPr>
        </w:p>
      </w:tc>
    </w:tr>
  </w:tbl>
  <w:p w:rsidR="00D636A4" w:rsidRDefault="00D63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617"/>
    <w:multiLevelType w:val="hybridMultilevel"/>
    <w:tmpl w:val="8EE0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5F60BE"/>
    <w:multiLevelType w:val="hybridMultilevel"/>
    <w:tmpl w:val="2C88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A453C6"/>
    <w:multiLevelType w:val="hybridMultilevel"/>
    <w:tmpl w:val="36EA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636F60"/>
    <w:multiLevelType w:val="hybridMultilevel"/>
    <w:tmpl w:val="1256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52"/>
    <w:rsid w:val="00061D9F"/>
    <w:rsid w:val="00061FF0"/>
    <w:rsid w:val="00183B56"/>
    <w:rsid w:val="002017AF"/>
    <w:rsid w:val="00294769"/>
    <w:rsid w:val="002C69BE"/>
    <w:rsid w:val="002E043E"/>
    <w:rsid w:val="003D0002"/>
    <w:rsid w:val="005A4F70"/>
    <w:rsid w:val="005F7AB6"/>
    <w:rsid w:val="006F26F0"/>
    <w:rsid w:val="00745E61"/>
    <w:rsid w:val="00761B52"/>
    <w:rsid w:val="007F4F66"/>
    <w:rsid w:val="00887311"/>
    <w:rsid w:val="00925083"/>
    <w:rsid w:val="009358B3"/>
    <w:rsid w:val="00964A08"/>
    <w:rsid w:val="00970A19"/>
    <w:rsid w:val="00A61A77"/>
    <w:rsid w:val="00AA6FBE"/>
    <w:rsid w:val="00AB2457"/>
    <w:rsid w:val="00AC73AA"/>
    <w:rsid w:val="00BA4ABD"/>
    <w:rsid w:val="00C516E7"/>
    <w:rsid w:val="00CC5193"/>
    <w:rsid w:val="00D636A4"/>
    <w:rsid w:val="00D72526"/>
    <w:rsid w:val="00E57F05"/>
    <w:rsid w:val="00E63BA4"/>
    <w:rsid w:val="00E77422"/>
    <w:rsid w:val="00EA4CB9"/>
    <w:rsid w:val="00EA7B46"/>
    <w:rsid w:val="00F578C8"/>
    <w:rsid w:val="00FA54DC"/>
    <w:rsid w:val="00FA61C0"/>
    <w:rsid w:val="00FC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A4"/>
  </w:style>
  <w:style w:type="paragraph" w:styleId="Footer">
    <w:name w:val="footer"/>
    <w:basedOn w:val="Normal"/>
    <w:link w:val="FooterChar"/>
    <w:uiPriority w:val="99"/>
    <w:unhideWhenUsed/>
    <w:rsid w:val="00D6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A4"/>
  </w:style>
  <w:style w:type="paragraph" w:styleId="BalloonText">
    <w:name w:val="Balloon Text"/>
    <w:basedOn w:val="Normal"/>
    <w:link w:val="BalloonTextChar"/>
    <w:uiPriority w:val="99"/>
    <w:semiHidden/>
    <w:unhideWhenUsed/>
    <w:rsid w:val="00D6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A4"/>
    <w:rPr>
      <w:rFonts w:ascii="Tahoma" w:hAnsi="Tahoma" w:cs="Tahoma"/>
      <w:sz w:val="16"/>
      <w:szCs w:val="16"/>
    </w:rPr>
  </w:style>
  <w:style w:type="paragraph" w:styleId="BodyText">
    <w:name w:val="Body Text"/>
    <w:basedOn w:val="Normal"/>
    <w:link w:val="BodyTextChar"/>
    <w:semiHidden/>
    <w:unhideWhenUsed/>
    <w:rsid w:val="00061D9F"/>
    <w:pPr>
      <w:spacing w:after="0" w:line="240" w:lineRule="auto"/>
      <w:ind w:right="-542"/>
    </w:pPr>
    <w:rPr>
      <w:rFonts w:ascii="Times New Roman" w:eastAsia="Times New Roman" w:hAnsi="Times New Roman"/>
      <w:b/>
      <w:bCs/>
      <w:szCs w:val="20"/>
    </w:rPr>
  </w:style>
  <w:style w:type="character" w:customStyle="1" w:styleId="BodyTextChar">
    <w:name w:val="Body Text Char"/>
    <w:basedOn w:val="DefaultParagraphFont"/>
    <w:link w:val="BodyText"/>
    <w:semiHidden/>
    <w:rsid w:val="00061D9F"/>
    <w:rPr>
      <w:rFonts w:ascii="Times New Roman" w:eastAsia="Times New Roman" w:hAnsi="Times New Roman" w:cs="Times New Roman"/>
      <w:b/>
      <w:bCs/>
      <w:szCs w:val="20"/>
    </w:rPr>
  </w:style>
  <w:style w:type="paragraph" w:styleId="NoSpacing">
    <w:name w:val="No Spacing"/>
    <w:uiPriority w:val="1"/>
    <w:qFormat/>
    <w:rsid w:val="00061D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A4"/>
  </w:style>
  <w:style w:type="paragraph" w:styleId="Footer">
    <w:name w:val="footer"/>
    <w:basedOn w:val="Normal"/>
    <w:link w:val="FooterChar"/>
    <w:uiPriority w:val="99"/>
    <w:unhideWhenUsed/>
    <w:rsid w:val="00D6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A4"/>
  </w:style>
  <w:style w:type="paragraph" w:styleId="BalloonText">
    <w:name w:val="Balloon Text"/>
    <w:basedOn w:val="Normal"/>
    <w:link w:val="BalloonTextChar"/>
    <w:uiPriority w:val="99"/>
    <w:semiHidden/>
    <w:unhideWhenUsed/>
    <w:rsid w:val="00D6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A4"/>
    <w:rPr>
      <w:rFonts w:ascii="Tahoma" w:hAnsi="Tahoma" w:cs="Tahoma"/>
      <w:sz w:val="16"/>
      <w:szCs w:val="16"/>
    </w:rPr>
  </w:style>
  <w:style w:type="paragraph" w:styleId="BodyText">
    <w:name w:val="Body Text"/>
    <w:basedOn w:val="Normal"/>
    <w:link w:val="BodyTextChar"/>
    <w:semiHidden/>
    <w:unhideWhenUsed/>
    <w:rsid w:val="00061D9F"/>
    <w:pPr>
      <w:spacing w:after="0" w:line="240" w:lineRule="auto"/>
      <w:ind w:right="-542"/>
    </w:pPr>
    <w:rPr>
      <w:rFonts w:ascii="Times New Roman" w:eastAsia="Times New Roman" w:hAnsi="Times New Roman"/>
      <w:b/>
      <w:bCs/>
      <w:szCs w:val="20"/>
    </w:rPr>
  </w:style>
  <w:style w:type="character" w:customStyle="1" w:styleId="BodyTextChar">
    <w:name w:val="Body Text Char"/>
    <w:basedOn w:val="DefaultParagraphFont"/>
    <w:link w:val="BodyText"/>
    <w:semiHidden/>
    <w:rsid w:val="00061D9F"/>
    <w:rPr>
      <w:rFonts w:ascii="Times New Roman" w:eastAsia="Times New Roman" w:hAnsi="Times New Roman" w:cs="Times New Roman"/>
      <w:b/>
      <w:bCs/>
      <w:szCs w:val="20"/>
    </w:rPr>
  </w:style>
  <w:style w:type="paragraph" w:styleId="NoSpacing">
    <w:name w:val="No Spacing"/>
    <w:uiPriority w:val="1"/>
    <w:qFormat/>
    <w:rsid w:val="00061D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910">
      <w:bodyDiv w:val="1"/>
      <w:marLeft w:val="0"/>
      <w:marRight w:val="0"/>
      <w:marTop w:val="0"/>
      <w:marBottom w:val="0"/>
      <w:divBdr>
        <w:top w:val="none" w:sz="0" w:space="0" w:color="auto"/>
        <w:left w:val="none" w:sz="0" w:space="0" w:color="auto"/>
        <w:bottom w:val="none" w:sz="0" w:space="0" w:color="auto"/>
        <w:right w:val="none" w:sz="0" w:space="0" w:color="auto"/>
      </w:divBdr>
    </w:div>
    <w:div w:id="1391734661">
      <w:bodyDiv w:val="1"/>
      <w:marLeft w:val="0"/>
      <w:marRight w:val="0"/>
      <w:marTop w:val="0"/>
      <w:marBottom w:val="0"/>
      <w:divBdr>
        <w:top w:val="none" w:sz="0" w:space="0" w:color="auto"/>
        <w:left w:val="none" w:sz="0" w:space="0" w:color="auto"/>
        <w:bottom w:val="none" w:sz="0" w:space="0" w:color="auto"/>
        <w:right w:val="none" w:sz="0" w:space="0" w:color="auto"/>
      </w:divBdr>
    </w:div>
    <w:div w:id="14544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Murphy</dc:creator>
  <cp:lastModifiedBy>Gareth Bartlett</cp:lastModifiedBy>
  <cp:revision>7</cp:revision>
  <cp:lastPrinted>2015-07-15T13:34:00Z</cp:lastPrinted>
  <dcterms:created xsi:type="dcterms:W3CDTF">2015-07-15T13:27:00Z</dcterms:created>
  <dcterms:modified xsi:type="dcterms:W3CDTF">2015-11-10T09:11:00Z</dcterms:modified>
</cp:coreProperties>
</file>